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right"/>
        <w:rPr>
          <w:rFonts w:asciiTheme="minorHAnsi" w:hAnsiTheme="minorHAnsi"/>
        </w:rPr>
      </w:pPr>
      <w:r w:rsidRPr="00AF63C6">
        <w:rPr>
          <w:rFonts w:asciiTheme="minorHAnsi" w:hAnsiTheme="minorHAnsi"/>
        </w:rPr>
        <w:t>Mały Płock, 15.09.2016 r.</w:t>
      </w:r>
    </w:p>
    <w:p w:rsidR="00AF63C6" w:rsidRDefault="00AF63C6" w:rsidP="00AF63C6">
      <w:pPr>
        <w:pStyle w:val="Akapitzlist"/>
        <w:spacing w:after="0" w:line="23" w:lineRule="atLeast"/>
        <w:ind w:left="426"/>
        <w:jc w:val="right"/>
        <w:rPr>
          <w:rFonts w:asciiTheme="minorHAnsi" w:hAnsiTheme="minorHAnsi"/>
        </w:rPr>
      </w:pPr>
    </w:p>
    <w:p w:rsidR="00AF63C6" w:rsidRDefault="00AF63C6" w:rsidP="00AF63C6">
      <w:pPr>
        <w:pStyle w:val="Akapitzlist"/>
        <w:spacing w:after="0" w:line="23" w:lineRule="atLeast"/>
        <w:ind w:left="426"/>
        <w:rPr>
          <w:rFonts w:asciiTheme="minorHAnsi" w:hAnsiTheme="minorHAnsi"/>
        </w:rPr>
      </w:pPr>
      <w:r>
        <w:rPr>
          <w:rFonts w:asciiTheme="minorHAnsi" w:hAnsiTheme="minorHAnsi"/>
        </w:rPr>
        <w:t>OGPŚ.271.6.2016</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eastAsia="Times New Roman"/>
          <w:b/>
          <w:sz w:val="28"/>
          <w:szCs w:val="28"/>
          <w:lang w:eastAsia="pl-PL"/>
        </w:rPr>
        <w:t>W SEZONIE GRZEWCZYM 2016 – 2017</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 xml:space="preserve">Postępowanie prowadzone jest zgodnie z przepisami ustawy z dnia 29 stycznia 2004 r. Prawo zamówień publicznych – tekst jednolity wprowadzony Obwieszczeniem Marszałka Sejmu </w:t>
      </w:r>
      <w:r w:rsidR="00893FCC">
        <w:rPr>
          <w:rFonts w:asciiTheme="minorHAnsi" w:eastAsiaTheme="minorHAnsi" w:hAnsiTheme="minorHAnsi" w:cstheme="minorBidi"/>
        </w:rPr>
        <w:t xml:space="preserve">                       </w:t>
      </w:r>
      <w:r w:rsidRPr="00F8308C">
        <w:rPr>
          <w:rFonts w:asciiTheme="minorHAnsi" w:eastAsiaTheme="minorHAnsi" w:hAnsiTheme="minorHAnsi" w:cstheme="minorBidi"/>
        </w:rPr>
        <w:t>z dnia 26 listopada 2015 r. w sprawie ogłoszenia jednolitego tekstu ustawy – Prawo zamówień publicznych, opublikowany w Dz.</w:t>
      </w:r>
      <w:r w:rsidR="00380E9E">
        <w:rPr>
          <w:rFonts w:asciiTheme="minorHAnsi" w:eastAsiaTheme="minorHAnsi" w:hAnsiTheme="minorHAnsi" w:cstheme="minorBidi"/>
        </w:rPr>
        <w:t xml:space="preserve"> U. z 2015 r. poz. 2164 wraz ze</w:t>
      </w:r>
      <w:r w:rsidRPr="00F8308C">
        <w:rPr>
          <w:rFonts w:asciiTheme="minorHAnsi" w:eastAsiaTheme="minorHAnsi" w:hAnsiTheme="minorHAnsi" w:cstheme="minorBidi"/>
        </w:rPr>
        <w:t xml:space="preserve"> zmianami wprowadzonymi ustawą z dnia 22 czerwca 2016 r. </w:t>
      </w:r>
      <w:r w:rsidR="00F8308C" w:rsidRPr="00F8308C">
        <w:rPr>
          <w:rFonts w:asciiTheme="minorHAnsi" w:eastAsiaTheme="minorHAnsi" w:hAnsiTheme="minorHAnsi" w:cstheme="minorBidi"/>
        </w:rPr>
        <w:t>o zmianie ustawy – Prawo zamówień publicznych oraz niektórych innych ustaw (Dz. U. z 2016 r. poz. 1020), a także wydanych na jej podstawie rozporządzeń Wykonawczych</w:t>
      </w:r>
      <w:r w:rsidR="0037795C">
        <w:rPr>
          <w:rFonts w:asciiTheme="minorHAnsi" w:eastAsiaTheme="minorHAnsi" w:hAnsiTheme="minorHAnsi" w:cstheme="minorBidi"/>
        </w:rPr>
        <w:t xml:space="preserve"> (zwanej ustawą Pzp)</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F8308C">
        <w:rPr>
          <w:rFonts w:asciiTheme="minorHAnsi" w:eastAsia="Times New Roman" w:hAnsiTheme="minorHAnsi"/>
          <w:lang w:eastAsia="pl-PL"/>
        </w:rPr>
        <w:t xml:space="preserve"> z  2015 poz. 2164 z późn.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lastRenderedPageBreak/>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Wspólnot Europejskich (Dz. U. z 2015 r. poz. 2263),</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Kodeks cywilny (t.j. Dz. U. z 2014 r. poz. 121 z późn.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(t.j. Dz. U z 2003 r. Nr 153, poz. 1503 z późn.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 w szacunkowej ilości do 190 500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FB5DFC" w:rsidRDefault="00FB5DFC" w:rsidP="00FB5DFC">
      <w:pPr>
        <w:pStyle w:val="Akapitzlist"/>
        <w:numPr>
          <w:ilvl w:val="0"/>
          <w:numId w:val="31"/>
        </w:numPr>
        <w:spacing w:after="0" w:line="23" w:lineRule="atLeast"/>
        <w:jc w:val="both"/>
      </w:pPr>
      <w:r>
        <w:t>Wymagane parametry oleju opałowego</w:t>
      </w:r>
      <w:r w:rsidR="00380E9E">
        <w:t>,</w:t>
      </w:r>
      <w:r>
        <w:t xml:space="preserve"> zgodne z parametrami określonymi wg normy PN-C-99024:2011 oraz w Rozporządzeniu Ministra Gospodarki z dnia 7 listopada 2014 r. w sprawie wymagań jakościowych dotyczących zawartości siarki dla olejów oraz rodzajów instalacji i warunków, w których będą stosowane ciężkie oleje opałowe </w:t>
      </w:r>
      <w:r w:rsidR="00380E9E">
        <w:t xml:space="preserve">                </w:t>
      </w:r>
      <w:r>
        <w:t>(Dz. U. z 2014 r. poz. 1547):</w:t>
      </w:r>
    </w:p>
    <w:p w:rsidR="00FB5DFC" w:rsidRDefault="00FB5DFC" w:rsidP="00FB5DFC">
      <w:pPr>
        <w:pStyle w:val="Akapitzlist"/>
        <w:numPr>
          <w:ilvl w:val="0"/>
          <w:numId w:val="32"/>
        </w:numPr>
        <w:spacing w:after="0" w:line="23" w:lineRule="atLeast"/>
        <w:jc w:val="both"/>
      </w:pPr>
      <w:r>
        <w:t>Gęstość w temperaturze 15 st. C nie wyższa niż 860 kg/m</w:t>
      </w:r>
      <w:r>
        <w:rPr>
          <w:vertAlign w:val="superscript"/>
        </w:rPr>
        <w:t>3</w:t>
      </w:r>
      <w:r>
        <w:t>;</w:t>
      </w:r>
    </w:p>
    <w:p w:rsidR="00FB5DFC" w:rsidRDefault="00FB5DFC" w:rsidP="00FB5DFC">
      <w:pPr>
        <w:pStyle w:val="Akapitzlist"/>
        <w:numPr>
          <w:ilvl w:val="0"/>
          <w:numId w:val="32"/>
        </w:numPr>
        <w:spacing w:after="0" w:line="23" w:lineRule="atLeast"/>
        <w:jc w:val="both"/>
      </w:pPr>
      <w:r>
        <w:t>Wartość opałowa min 42,6 MJ/kg;</w:t>
      </w:r>
    </w:p>
    <w:p w:rsidR="00FB5DFC" w:rsidRDefault="00E860D6" w:rsidP="00FB5DFC">
      <w:pPr>
        <w:pStyle w:val="Akapitzlist"/>
        <w:numPr>
          <w:ilvl w:val="0"/>
          <w:numId w:val="32"/>
        </w:numPr>
        <w:spacing w:after="0" w:line="23" w:lineRule="atLeast"/>
        <w:jc w:val="both"/>
      </w:pPr>
      <w:r>
        <w:t>Lepkość kinematyczna w temperaturze 20 st. C</w:t>
      </w:r>
      <w:r w:rsidR="007B2160">
        <w:t xml:space="preserve"> max. 6 mm2/s</w:t>
      </w:r>
    </w:p>
    <w:p w:rsidR="007B2160" w:rsidRDefault="007B2160" w:rsidP="00FB5DFC">
      <w:pPr>
        <w:pStyle w:val="Akapitzlist"/>
        <w:numPr>
          <w:ilvl w:val="0"/>
          <w:numId w:val="32"/>
        </w:numPr>
        <w:spacing w:after="0" w:line="23" w:lineRule="atLeast"/>
        <w:jc w:val="both"/>
      </w:pPr>
      <w:r>
        <w:t>Temperatura płynięcia max -20 st. C;</w:t>
      </w:r>
    </w:p>
    <w:p w:rsidR="007B2160" w:rsidRDefault="007B2160" w:rsidP="00FB5DFC">
      <w:pPr>
        <w:pStyle w:val="Akapitzlist"/>
        <w:numPr>
          <w:ilvl w:val="0"/>
          <w:numId w:val="32"/>
        </w:numPr>
        <w:spacing w:after="0" w:line="23" w:lineRule="atLeast"/>
        <w:jc w:val="both"/>
      </w:pPr>
      <w:r>
        <w:t>Pozostałość po koksowaniu (10% pozostałości destylacyjnej max. 0,3 %(m/m);</w:t>
      </w:r>
    </w:p>
    <w:p w:rsidR="007B2160" w:rsidRDefault="007B2160" w:rsidP="00FB5DFC">
      <w:pPr>
        <w:pStyle w:val="Akapitzlist"/>
        <w:numPr>
          <w:ilvl w:val="0"/>
          <w:numId w:val="32"/>
        </w:numPr>
        <w:spacing w:after="0" w:line="23" w:lineRule="atLeast"/>
        <w:jc w:val="both"/>
      </w:pPr>
      <w:r>
        <w:t>Zawartość siarki max 0,1 %(m/m);</w:t>
      </w:r>
    </w:p>
    <w:p w:rsidR="007B2160" w:rsidRDefault="007B2160" w:rsidP="00FB5DFC">
      <w:pPr>
        <w:pStyle w:val="Akapitzlist"/>
        <w:numPr>
          <w:ilvl w:val="0"/>
          <w:numId w:val="32"/>
        </w:numPr>
        <w:spacing w:after="0" w:line="23" w:lineRule="atLeast"/>
        <w:jc w:val="both"/>
      </w:pPr>
      <w:r>
        <w:t>Zawartość wody max. 200 mg/kg;</w:t>
      </w:r>
    </w:p>
    <w:p w:rsidR="007B2160" w:rsidRDefault="007B2160" w:rsidP="00FB5DFC">
      <w:pPr>
        <w:pStyle w:val="Akapitzlist"/>
        <w:numPr>
          <w:ilvl w:val="0"/>
          <w:numId w:val="32"/>
        </w:numPr>
        <w:spacing w:after="0" w:line="23" w:lineRule="atLeast"/>
        <w:jc w:val="both"/>
      </w:pPr>
      <w:r>
        <w:t>Zawartość zanieczyszczeń stałych max. 24 mg/kg;</w:t>
      </w:r>
    </w:p>
    <w:p w:rsidR="007B2160" w:rsidRDefault="007B2160" w:rsidP="00FB5DFC">
      <w:pPr>
        <w:pStyle w:val="Akapitzlist"/>
        <w:numPr>
          <w:ilvl w:val="0"/>
          <w:numId w:val="32"/>
        </w:numPr>
        <w:spacing w:after="0" w:line="23" w:lineRule="atLeast"/>
        <w:jc w:val="both"/>
      </w:pPr>
      <w:r>
        <w:t>Pozostałość po spopielaniu max. 0,01 % (m/m);</w:t>
      </w:r>
    </w:p>
    <w:p w:rsidR="007B2160" w:rsidRDefault="007B2160" w:rsidP="00FB5DFC">
      <w:pPr>
        <w:pStyle w:val="Akapitzlist"/>
        <w:numPr>
          <w:ilvl w:val="0"/>
          <w:numId w:val="32"/>
        </w:numPr>
        <w:spacing w:after="0" w:line="23" w:lineRule="atLeast"/>
        <w:jc w:val="both"/>
      </w:pPr>
      <w:r>
        <w:t>Zawartość znacznika SY 124 6-9 mg/l;</w:t>
      </w:r>
    </w:p>
    <w:p w:rsidR="007B2160" w:rsidRDefault="007B2160" w:rsidP="00FB5DFC">
      <w:pPr>
        <w:pStyle w:val="Akapitzlist"/>
        <w:numPr>
          <w:ilvl w:val="0"/>
          <w:numId w:val="32"/>
        </w:numPr>
        <w:spacing w:after="0" w:line="23" w:lineRule="atLeast"/>
        <w:jc w:val="both"/>
      </w:pPr>
      <w:r>
        <w:t>Zawartość barwnika S Red 19 min. 6,3 mg/l;</w:t>
      </w:r>
    </w:p>
    <w:p w:rsidR="007B2160" w:rsidRDefault="007B2160" w:rsidP="00FB5DFC">
      <w:pPr>
        <w:pStyle w:val="Akapitzlist"/>
        <w:numPr>
          <w:ilvl w:val="0"/>
          <w:numId w:val="32"/>
        </w:numPr>
        <w:spacing w:after="0" w:line="23" w:lineRule="atLeast"/>
        <w:jc w:val="both"/>
      </w:pPr>
      <w:r>
        <w:t>Skład frakcyjny:</w:t>
      </w:r>
    </w:p>
    <w:p w:rsidR="007B2160" w:rsidRDefault="007B2160" w:rsidP="007B2160">
      <w:pPr>
        <w:pStyle w:val="Akapitzlist"/>
        <w:spacing w:after="0" w:line="23" w:lineRule="atLeast"/>
        <w:ind w:left="2149"/>
        <w:jc w:val="both"/>
      </w:pPr>
      <w:r>
        <w:t>do temperatury 250 st. C destyluje max. 65 % (V/V),</w:t>
      </w:r>
    </w:p>
    <w:p w:rsidR="00FB5DFC" w:rsidRDefault="00EB3082" w:rsidP="007B2160">
      <w:pPr>
        <w:pStyle w:val="Akapitzlist"/>
        <w:spacing w:after="0" w:line="23" w:lineRule="atLeast"/>
        <w:ind w:left="2149"/>
        <w:jc w:val="both"/>
      </w:pPr>
      <w:r>
        <w:t xml:space="preserve">do </w:t>
      </w:r>
      <w:r w:rsidR="00894D84">
        <w:t>tempera</w:t>
      </w:r>
      <w:r w:rsidR="007B2160">
        <w:t>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 xml:space="preserve">ałym Płocku ul. J. Kochanowskiego 17, 18-516 Mały Płock, Zabytkowy Dworek ul. Krótka 13, 18-516 Mały Płock, Gimnazjum im. Papieża Jana Pawła II </w:t>
      </w:r>
      <w:r w:rsidR="0037795C">
        <w:t xml:space="preserve">                      </w:t>
      </w:r>
      <w:r w:rsidRPr="00E8256C">
        <w:t>w Małym Płocku, ul. J. Kochanowskiego 25, 18-515 Mały Płock, Szkoła Podstawowa w Małym Płocku, ul. J. Kochanowskiego 25, 18-516 Mały Płock</w:t>
      </w:r>
      <w:r w:rsidR="00E8256C" w:rsidRPr="00E8256C">
        <w:t xml:space="preserve">, Szkoła Podstawowa w Chludniach, </w:t>
      </w:r>
      <w:r w:rsidR="00E8256C" w:rsidRPr="00E8256C">
        <w:lastRenderedPageBreak/>
        <w:t>Chludnie 2, Szkoła Podstawowa w Rogienicach Wielkich, u</w:t>
      </w:r>
      <w:r w:rsidR="0062363E">
        <w:t>l. Długa 1, Rogienice Wielkie, G</w:t>
      </w:r>
      <w:r w:rsidR="00E8256C" w:rsidRPr="00E8256C">
        <w:t>minny Ośrodek Kultury w Małym Płocku ul. Ks. T. Ciborowskiego 38, 18-516 Mały Płock.</w:t>
      </w:r>
    </w:p>
    <w:p w:rsidR="00CE2BBB" w:rsidRDefault="00CE2BBB" w:rsidP="00837AA4">
      <w:pPr>
        <w:pStyle w:val="Akapitzlist"/>
        <w:numPr>
          <w:ilvl w:val="1"/>
          <w:numId w:val="1"/>
        </w:numPr>
        <w:spacing w:after="0" w:line="23" w:lineRule="atLeast"/>
        <w:ind w:left="709"/>
        <w:jc w:val="both"/>
      </w:pPr>
      <w:r>
        <w:t>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Pzp).</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Pzp.),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lastRenderedPageBreak/>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Pr>
          <w:rFonts w:eastAsia="Times New Roman"/>
          <w:lang w:eastAsia="pl-PL"/>
        </w:rPr>
        <w:t>.04.2017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4 ustawy z dnia 10 kwietnia 1997 r. Prawo energetyczne (t.j. Dz. U. z 2012 r., poz. 105 9 z późn.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Pr="00893FCC">
        <w:rPr>
          <w:rFonts w:asciiTheme="minorHAnsi" w:hAnsiTheme="minorHAnsi" w:cs="Verdana"/>
          <w:b/>
        </w:rPr>
        <w:t>min. 400 000,00 PLN</w:t>
      </w:r>
      <w:r w:rsidRPr="00893FCC">
        <w:rPr>
          <w:rFonts w:asciiTheme="minorHAnsi" w:hAnsiTheme="minorHAnsi" w:cs="Verdana"/>
        </w:rPr>
        <w:t xml:space="preserve"> </w:t>
      </w:r>
      <w:r w:rsidRPr="00893FCC">
        <w:rPr>
          <w:rFonts w:asciiTheme="minorHAnsi" w:hAnsiTheme="minorHAnsi"/>
        </w:rPr>
        <w:t>(słownie: czterysta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lastRenderedPageBreak/>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Pr>
          <w:rStyle w:val="Uwydatnienie"/>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r>
        <w:t>Pzp.</w:t>
      </w:r>
    </w:p>
    <w:p w:rsidR="00496CAD" w:rsidRPr="00496CAD" w:rsidRDefault="00496CAD" w:rsidP="00837AA4">
      <w:pPr>
        <w:pStyle w:val="Akapitzlist"/>
        <w:numPr>
          <w:ilvl w:val="1"/>
          <w:numId w:val="1"/>
        </w:numPr>
        <w:spacing w:after="0" w:line="23" w:lineRule="atLeast"/>
        <w:ind w:left="709"/>
        <w:jc w:val="both"/>
      </w:pPr>
      <w:r w:rsidRPr="00496CAD">
        <w:rPr>
          <w:rFonts w:cs="Arial"/>
        </w:rPr>
        <w:t>Zamawiający nie  przewiduje wykluczenia  Wykonawcy na podstawie art. 24 ust.5 ustawy Pzp.</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ust.7 ustawy Pzp.</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lastRenderedPageBreak/>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 zamówienia na kwotę min 400 000 zł (słownie: czterysta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Pzp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1</w:t>
      </w:r>
      <w:r w:rsidRPr="00A26AFE">
        <w:rPr>
          <w:rFonts w:asciiTheme="minorHAnsi" w:eastAsia="Times New Roman" w:hAnsiTheme="minorHAnsi"/>
          <w:u w:val="single"/>
          <w:lang w:eastAsia="pl-PL"/>
        </w:rPr>
        <w:t xml:space="preserve"> </w:t>
      </w:r>
      <w:r w:rsidRPr="00A26AFE">
        <w:rPr>
          <w:rFonts w:asciiTheme="minorHAnsi" w:eastAsia="Times New Roman" w:hAnsiTheme="minorHAnsi"/>
          <w:lang w:eastAsia="pl-PL"/>
        </w:rPr>
        <w:t xml:space="preserve">pkt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63078" w:rsidRPr="00893FCC"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 xml:space="preserve">oświadczenie wykonawcy o przynależności albo braku przynależności do tej samej grupy kapitałowej; w przypadku przynależności do tej samej grupy kapitałowej wykonawca może złożyć wraz z oświadczeniem dokumenty bądź informacje </w:t>
      </w:r>
      <w:r>
        <w:lastRenderedPageBreak/>
        <w:t>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7.3. ppkt.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Jeżeli w kraju, w którym wykonawca ma siedzibę lub miejsce zamieszkania lub miejsce zamieszkania ma osoba, której dokument dotyczy, nie wydaje się dokumentów, o których mowa w pkt 7.4. ppkt.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zawierać oświadczenia, o których mowa w pkt. 7.1 ppkt.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Komunikacja pomiędzy Zamawiającym a Wykonawcami odbywa się: za pośrednictwem operatora pocztowego w rozumieniu ustawy z dnia 23 listopada 2012 r. – Prawo pocztowe (Dz. U. z 2012 r. poz. 1529 oraz 2015 r. poz. 1830), osobiście, za pośrednictwem posłańca, faksu, przy użyciu środków komunikacji elektronicznej </w:t>
      </w:r>
      <w:r w:rsidR="00435250">
        <w:rPr>
          <w:rFonts w:cs="Arial"/>
          <w:color w:val="000000"/>
        </w:rPr>
        <w:t xml:space="preserve">                    </w:t>
      </w:r>
      <w:r>
        <w:rPr>
          <w:rFonts w:cs="Arial"/>
          <w:color w:val="000000"/>
        </w:rPr>
        <w:t>w rozumieniu ustawy z dnia 18 lipca 2002 r. o świadczeniu usług drogą elektroniczną (Dz.U. z 2013 r. poz. 1422, z 2015 r. poz. 1844 oraz z 2016 r. poz. 147 i 615)</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lastRenderedPageBreak/>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Oświadczenia wymienione w ppkt.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Pr="00786801">
        <w:rPr>
          <w:rFonts w:eastAsia="Times New Roman"/>
          <w:b/>
          <w:lang w:eastAsia="pl-PL"/>
        </w:rPr>
        <w:t>w sezonie grzewczym 2016 – 2017”,</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5C62DB" w:rsidRPr="005C62DB">
        <w:rPr>
          <w:rFonts w:eastAsia="Times New Roman"/>
          <w:b/>
          <w:lang w:eastAsia="pl-PL"/>
        </w:rPr>
        <w:t>23.09.2016 r.</w:t>
      </w:r>
      <w:r w:rsidRPr="005C62DB">
        <w:rPr>
          <w:rFonts w:eastAsia="Times New Roman"/>
          <w:b/>
          <w:lang w:eastAsia="pl-PL"/>
        </w:rPr>
        <w:t xml:space="preserve"> godz.</w:t>
      </w:r>
      <w:r w:rsidR="005C62DB" w:rsidRPr="005C62DB">
        <w:rPr>
          <w:rFonts w:eastAsia="Times New Roman"/>
          <w:b/>
          <w:lang w:eastAsia="pl-PL"/>
        </w:rPr>
        <w:t xml:space="preserve"> 10</w:t>
      </w:r>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Zamawiający informuje, że dane osobowe, o których mowa w ppkt.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786801" w:rsidRPr="00786801">
        <w:rPr>
          <w:rFonts w:eastAsia="Times New Roman"/>
          <w:b/>
          <w:lang w:eastAsia="pl-PL"/>
        </w:rPr>
        <w:t>23.09.2016 r.</w:t>
      </w:r>
      <w:r w:rsidR="00786801">
        <w:rPr>
          <w:rFonts w:eastAsia="Times New Roman"/>
          <w:lang w:eastAsia="pl-PL"/>
        </w:rPr>
        <w:t xml:space="preserve"> do godz. </w:t>
      </w:r>
      <w:r w:rsidR="00786801" w:rsidRPr="00786801">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786801" w:rsidRPr="005C62DB">
        <w:rPr>
          <w:rFonts w:eastAsia="Times New Roman"/>
          <w:b/>
          <w:lang w:eastAsia="pl-PL"/>
        </w:rPr>
        <w:t>23.09.2016 r.</w:t>
      </w:r>
      <w:r w:rsidR="00786801">
        <w:rPr>
          <w:rFonts w:eastAsia="Times New Roman"/>
          <w:lang w:eastAsia="pl-PL"/>
        </w:rPr>
        <w:t xml:space="preserve"> o godz. </w:t>
      </w:r>
      <w:r w:rsidR="00786801" w:rsidRPr="005C62DB">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Zgodnie z art. 84 ust. 2 Pzp,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bookmarkStart w:id="0" w:name="_GoBack"/>
      <w:bookmarkEnd w:id="0"/>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lastRenderedPageBreak/>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ppk.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dostawy jednorazowej</w:t>
            </w:r>
            <w:r w:rsidR="00D55312" w:rsidRPr="001A427C">
              <w:rPr>
                <w:sz w:val="18"/>
                <w:szCs w:val="18"/>
              </w:rPr>
              <w:t xml:space="preserve"> </w:t>
            </w:r>
            <w:r w:rsidR="00D55312" w:rsidRPr="001A427C">
              <w:rPr>
                <w:b/>
                <w:sz w:val="18"/>
                <w:szCs w:val="18"/>
              </w:rPr>
              <w:t>(Td)</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D41545" w:rsidP="003216B5">
            <w:pPr>
              <w:spacing w:before="60" w:after="60"/>
              <w:ind w:right="44" w:hanging="212"/>
              <w:jc w:val="both"/>
              <w:outlineLvl w:val="0"/>
              <w:rPr>
                <w:sz w:val="18"/>
                <w:szCs w:val="18"/>
              </w:rPr>
            </w:pPr>
            <w:r w:rsidRPr="001A427C">
              <w:rPr>
                <w:sz w:val="18"/>
                <w:szCs w:val="18"/>
              </w:rPr>
              <w:t xml:space="preserve">    </w:t>
            </w:r>
            <w:r w:rsidR="001A427C">
              <w:rPr>
                <w:sz w:val="18"/>
                <w:szCs w:val="18"/>
              </w:rPr>
              <w:t xml:space="preserve">  </w:t>
            </w:r>
            <w:r w:rsidRPr="001A427C">
              <w:rPr>
                <w:sz w:val="18"/>
                <w:szCs w:val="18"/>
              </w:rPr>
              <w:t xml:space="preserve">Do </w:t>
            </w:r>
            <w:r w:rsidRPr="001A427C">
              <w:rPr>
                <w:b/>
                <w:sz w:val="18"/>
                <w:szCs w:val="18"/>
              </w:rPr>
              <w:t>12</w:t>
            </w:r>
            <w:r w:rsidR="00D55312" w:rsidRPr="001A427C">
              <w:rPr>
                <w:sz w:val="18"/>
                <w:szCs w:val="18"/>
              </w:rPr>
              <w:t xml:space="preserve"> godzin – 20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 xml:space="preserve">24 </w:t>
            </w:r>
            <w:r w:rsidR="00D55312" w:rsidRPr="001A427C">
              <w:rPr>
                <w:sz w:val="18"/>
                <w:szCs w:val="18"/>
              </w:rPr>
              <w:t>godzin – 10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48</w:t>
            </w:r>
            <w:r w:rsidR="00D55312" w:rsidRPr="001A427C">
              <w:rPr>
                <w:sz w:val="18"/>
                <w:szCs w:val="18"/>
              </w:rPr>
              <w:t xml:space="preserve"> godzin – 5</w:t>
            </w:r>
            <w:r w:rsidRPr="001A427C">
              <w:rPr>
                <w:sz w:val="18"/>
                <w:szCs w:val="18"/>
              </w:rPr>
              <w:t xml:space="preserve"> pkt.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(Tp)</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jednostki organizacyjnej, Dyrektora Zespołu Obsługi Placówek Oświatowych</w:t>
      </w:r>
      <w:r w:rsidR="00C5387B">
        <w:rPr>
          <w:rFonts w:eastAsia="Times New Roman"/>
          <w:lang w:eastAsia="pl-PL"/>
        </w:rPr>
        <w:t xml:space="preserve"> w Małym Płocku</w:t>
      </w:r>
      <w:r w:rsidR="004072E0">
        <w:rPr>
          <w:rFonts w:eastAsia="Times New Roman"/>
          <w:lang w:eastAsia="pl-PL"/>
        </w:rPr>
        <w:t>,</w:t>
      </w:r>
      <w:r>
        <w:rPr>
          <w:rFonts w:eastAsia="Times New Roman"/>
          <w:lang w:eastAsia="pl-PL"/>
        </w:rPr>
        <w:t xml:space="preserve"> do faktycznego 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 xml:space="preserve">P= C+Td+Tp,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lastRenderedPageBreak/>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Td – liczba punktów uzyskanych przez badaną ofertę w kryterium „Termin dostawy jednorazowej”,</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Tp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ppkt. 15.5. lit. a) i b) gdy w postępowaniu złożona została tylko jedna oferta lub upłynął termin do wniesienia odwołania na </w:t>
      </w:r>
      <w:r>
        <w:lastRenderedPageBreak/>
        <w:t>czynności zamawiającego wymienione w art. 180 ust. 2 ustawy Pzp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Z  wykonawcą wybranym w drodze niniejszego postępowania, który złoży ofertę najkorzystniejszą, zostanie zawarta umowa zgodnie z postanowieniami ustawy Pzp,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Środki ochrony prawnej przysługują Wykonawcy, a także innemu podmiotowi, jeżeli ma lub miał interes w uzyskaniu danego zamówienia oraz poniósł lub może ponieść szkodę w wyniku naruszenia przez Zamawiającego przepisów Pzp.</w:t>
      </w:r>
    </w:p>
    <w:p w:rsidR="009356BF" w:rsidRPr="00FF6B06" w:rsidRDefault="009356BF" w:rsidP="00837AA4">
      <w:pPr>
        <w:numPr>
          <w:ilvl w:val="1"/>
          <w:numId w:val="1"/>
        </w:numPr>
        <w:spacing w:after="60" w:line="280" w:lineRule="exact"/>
        <w:ind w:left="709" w:right="44"/>
        <w:jc w:val="both"/>
      </w:pPr>
      <w:r w:rsidRPr="00FF6B06">
        <w:t>Środki ochrony prawnej wobec ogłoszenia o zamówieniu oraz Siwz przysługują również organizacjom wpisanym na listę, o której mowa w art. 154 pkt 5 Pzp.</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Pzp,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lastRenderedPageBreak/>
        <w:t>wobec treści ogłoszenia o zamówieniu, a także wobec postanowień Siwz – w terminie 5 dni od dnia zamieszczenia ogłoszenia w Biuletynie Zamówień Publicznych, lub Siwz na stronie internetowej;</w:t>
      </w:r>
    </w:p>
    <w:p w:rsidR="006428D1" w:rsidRPr="00FF6B06" w:rsidRDefault="006428D1" w:rsidP="00837AA4">
      <w:pPr>
        <w:numPr>
          <w:ilvl w:val="0"/>
          <w:numId w:val="28"/>
        </w:numPr>
        <w:spacing w:after="60" w:line="280" w:lineRule="exact"/>
        <w:jc w:val="both"/>
      </w:pPr>
      <w:r w:rsidRPr="00FF6B06">
        <w:t>wobec czynności innych niż określone w ppkt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Szczegółowe zasady korzystania ze środków ochrony prawnej określa Dział VI Pzp – Środki ochrony prawnej.</w:t>
      </w:r>
    </w:p>
    <w:p w:rsidR="006428D1" w:rsidRDefault="006428D1" w:rsidP="006428D1">
      <w:pPr>
        <w:spacing w:after="60" w:line="280" w:lineRule="exact"/>
        <w:ind w:left="-11" w:right="44"/>
        <w:jc w:val="both"/>
        <w:rPr>
          <w:rFonts w:ascii="Verdana" w:hAnsi="Verdana"/>
          <w:sz w:val="18"/>
          <w:szCs w:val="18"/>
        </w:rPr>
      </w:pPr>
    </w:p>
    <w:p w:rsidR="006428D1" w:rsidRDefault="006428D1" w:rsidP="006428D1">
      <w:pPr>
        <w:spacing w:after="60" w:line="280" w:lineRule="exact"/>
        <w:ind w:left="-11" w:right="44"/>
        <w:jc w:val="both"/>
        <w:rPr>
          <w:rFonts w:ascii="Verdana" w:hAnsi="Verdana"/>
          <w:sz w:val="18"/>
          <w:szCs w:val="18"/>
        </w:rPr>
      </w:pPr>
    </w:p>
    <w:p w:rsidR="006428D1" w:rsidRPr="00FF6B06" w:rsidRDefault="006428D1" w:rsidP="00837AA4">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Załącznikami do niniejszej Siwz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6428D1">
            <w:pPr>
              <w:spacing w:after="60" w:line="280" w:lineRule="exact"/>
              <w:ind w:right="44"/>
              <w:jc w:val="both"/>
              <w:rPr>
                <w:rFonts w:asciiTheme="minorHAnsi" w:hAnsiTheme="minorHAnsi"/>
                <w:sz w:val="22"/>
                <w:szCs w:val="22"/>
              </w:rPr>
            </w:pPr>
            <w:r w:rsidRPr="00FF6B06">
              <w:rPr>
                <w:rFonts w:asciiTheme="minorHAnsi" w:hAnsiTheme="minorHAnsi"/>
                <w:sz w:val="22"/>
                <w:szCs w:val="22"/>
              </w:rPr>
              <w:t xml:space="preserve">Wzór Oświadczenia dotyczący przesłanek wykluczenia z postępowania </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2"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1"/>
  </w:num>
  <w:num w:numId="6">
    <w:abstractNumId w:val="25"/>
  </w:num>
  <w:num w:numId="7">
    <w:abstractNumId w:val="7"/>
  </w:num>
  <w:num w:numId="8">
    <w:abstractNumId w:val="1"/>
  </w:num>
  <w:num w:numId="9">
    <w:abstractNumId w:val="15"/>
  </w:num>
  <w:num w:numId="10">
    <w:abstractNumId w:val="9"/>
  </w:num>
  <w:num w:numId="11">
    <w:abstractNumId w:val="5"/>
  </w:num>
  <w:num w:numId="12">
    <w:abstractNumId w:val="26"/>
  </w:num>
  <w:num w:numId="13">
    <w:abstractNumId w:val="29"/>
  </w:num>
  <w:num w:numId="14">
    <w:abstractNumId w:val="32"/>
  </w:num>
  <w:num w:numId="15">
    <w:abstractNumId w:val="22"/>
  </w:num>
  <w:num w:numId="16">
    <w:abstractNumId w:val="27"/>
  </w:num>
  <w:num w:numId="17">
    <w:abstractNumId w:val="20"/>
  </w:num>
  <w:num w:numId="18">
    <w:abstractNumId w:val="34"/>
  </w:num>
  <w:num w:numId="19">
    <w:abstractNumId w:val="30"/>
  </w:num>
  <w:num w:numId="20">
    <w:abstractNumId w:val="13"/>
  </w:num>
  <w:num w:numId="21">
    <w:abstractNumId w:val="16"/>
  </w:num>
  <w:num w:numId="22">
    <w:abstractNumId w:val="33"/>
  </w:num>
  <w:num w:numId="23">
    <w:abstractNumId w:val="31"/>
  </w:num>
  <w:num w:numId="24">
    <w:abstractNumId w:val="24"/>
  </w:num>
  <w:num w:numId="25">
    <w:abstractNumId w:val="23"/>
  </w:num>
  <w:num w:numId="26">
    <w:abstractNumId w:val="12"/>
  </w:num>
  <w:num w:numId="27">
    <w:abstractNumId w:val="10"/>
  </w:num>
  <w:num w:numId="28">
    <w:abstractNumId w:val="18"/>
  </w:num>
  <w:num w:numId="29">
    <w:abstractNumId w:val="14"/>
  </w:num>
  <w:num w:numId="30">
    <w:abstractNumId w:val="19"/>
  </w:num>
  <w:num w:numId="31">
    <w:abstractNumId w:val="21"/>
  </w:num>
  <w:num w:numId="32">
    <w:abstractNumId w:val="3"/>
  </w:num>
  <w:num w:numId="33">
    <w:abstractNumId w:val="28"/>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46876"/>
    <w:rsid w:val="00064933"/>
    <w:rsid w:val="00080725"/>
    <w:rsid w:val="000A1983"/>
    <w:rsid w:val="00101CE1"/>
    <w:rsid w:val="00166FB1"/>
    <w:rsid w:val="001A427C"/>
    <w:rsid w:val="001B3A78"/>
    <w:rsid w:val="001D798F"/>
    <w:rsid w:val="002077B6"/>
    <w:rsid w:val="00241CB2"/>
    <w:rsid w:val="00246FEB"/>
    <w:rsid w:val="002A3318"/>
    <w:rsid w:val="002C1D28"/>
    <w:rsid w:val="002C7F7D"/>
    <w:rsid w:val="00372E67"/>
    <w:rsid w:val="0037795C"/>
    <w:rsid w:val="00380E9E"/>
    <w:rsid w:val="003E680F"/>
    <w:rsid w:val="003F1C60"/>
    <w:rsid w:val="004072E0"/>
    <w:rsid w:val="00425759"/>
    <w:rsid w:val="004303E9"/>
    <w:rsid w:val="00435250"/>
    <w:rsid w:val="004411C3"/>
    <w:rsid w:val="0045320E"/>
    <w:rsid w:val="0047620B"/>
    <w:rsid w:val="00496CAD"/>
    <w:rsid w:val="004A3D35"/>
    <w:rsid w:val="004E6EF2"/>
    <w:rsid w:val="00500FAE"/>
    <w:rsid w:val="00523C8A"/>
    <w:rsid w:val="00561265"/>
    <w:rsid w:val="005C62DB"/>
    <w:rsid w:val="0062363E"/>
    <w:rsid w:val="006428D1"/>
    <w:rsid w:val="006665EA"/>
    <w:rsid w:val="007526AF"/>
    <w:rsid w:val="007532C7"/>
    <w:rsid w:val="00755474"/>
    <w:rsid w:val="00763078"/>
    <w:rsid w:val="00783085"/>
    <w:rsid w:val="00786801"/>
    <w:rsid w:val="007B2160"/>
    <w:rsid w:val="007D739E"/>
    <w:rsid w:val="00837AA4"/>
    <w:rsid w:val="008541AC"/>
    <w:rsid w:val="00880E6A"/>
    <w:rsid w:val="00893FCC"/>
    <w:rsid w:val="00894D84"/>
    <w:rsid w:val="008D551D"/>
    <w:rsid w:val="00913780"/>
    <w:rsid w:val="009339BA"/>
    <w:rsid w:val="009356BF"/>
    <w:rsid w:val="00956E0D"/>
    <w:rsid w:val="009E0C91"/>
    <w:rsid w:val="00A214CF"/>
    <w:rsid w:val="00A26AFE"/>
    <w:rsid w:val="00A80DBD"/>
    <w:rsid w:val="00A9484A"/>
    <w:rsid w:val="00AF63C6"/>
    <w:rsid w:val="00B67BA1"/>
    <w:rsid w:val="00B73769"/>
    <w:rsid w:val="00B93E1D"/>
    <w:rsid w:val="00BE752A"/>
    <w:rsid w:val="00BF4863"/>
    <w:rsid w:val="00C063E8"/>
    <w:rsid w:val="00C5387B"/>
    <w:rsid w:val="00CD21D4"/>
    <w:rsid w:val="00CD7B05"/>
    <w:rsid w:val="00CE2BBB"/>
    <w:rsid w:val="00D00BC1"/>
    <w:rsid w:val="00D24172"/>
    <w:rsid w:val="00D414B2"/>
    <w:rsid w:val="00D41545"/>
    <w:rsid w:val="00D55312"/>
    <w:rsid w:val="00DE5909"/>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16</Pages>
  <Words>6785</Words>
  <Characters>40713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23</cp:revision>
  <dcterms:created xsi:type="dcterms:W3CDTF">2016-09-06T15:25:00Z</dcterms:created>
  <dcterms:modified xsi:type="dcterms:W3CDTF">2016-09-15T07:40:00Z</dcterms:modified>
</cp:coreProperties>
</file>